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罪犯杨春，男，</w:t>
      </w:r>
      <w:r>
        <w:rPr>
          <w:rFonts w:ascii="仿宋" w:hAnsi="仿宋" w:eastAsia="仿宋"/>
          <w:bCs/>
          <w:color w:val="auto"/>
          <w:sz w:val="32"/>
          <w:szCs w:val="32"/>
        </w:rPr>
        <w:t>1988年9月10日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出生，汉族，初中文化，务农，原户籍所在地：四川省叙永县，现在四川省汉王山监狱五监区服刑。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因非法拘禁罪、掩饰隐瞒犯罪所得罪，经四川省宜宾市翠屏区人民法院于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2022年8月4日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以(2022)川1502刑初82号刑事判决书，判处有期徒刑三年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并处罚金3万元。被告人杨春未提出上诉。刑期自</w:t>
      </w:r>
      <w:r>
        <w:rPr>
          <w:rFonts w:ascii="仿宋" w:hAnsi="仿宋" w:eastAsia="仿宋"/>
          <w:bCs/>
          <w:color w:val="auto"/>
          <w:sz w:val="32"/>
          <w:szCs w:val="32"/>
        </w:rPr>
        <w:t>2021年10月20日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2024年10月19日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2022年8月29日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罚金3万元，已全部履行。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，罪犯杨春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综上所述，罪犯杨春在服刑改造期间，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为此，根据《中华人民共和国监狱法》第二十九条、《中华人民共和国刑法》第七十八条、《中华人民共和国刑事诉讼法》第二百七十三条第二款的规定，建议对罪犯杨春减刑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五个月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附：罪犯杨春减刑材料  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E84"/>
    <w:rsid w:val="006B6E84"/>
    <w:rsid w:val="007A149A"/>
    <w:rsid w:val="0E0E02BC"/>
    <w:rsid w:val="124D4B36"/>
    <w:rsid w:val="720F5381"/>
    <w:rsid w:val="727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2024-02-06T11:31:00Z</dcterms:created>
  <dc:creator>admin</dc:creator>
  <cp:lastModifiedBy>XZK</cp:lastModifiedBy>
  <cp:lastPrinted>2024-03-25T06:44:45Z</cp:lastPrinted>
  <dcterms:modified xsi:type="dcterms:W3CDTF">2024-03-25T06:44:48Z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